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26" w:rsidRDefault="009D3F2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52500" cy="1028065"/>
            <wp:effectExtent l="19050" t="0" r="0" b="0"/>
            <wp:wrapSquare wrapText="bothSides"/>
            <wp:docPr id="7" name="obrázek 7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F26" w:rsidRPr="00DB004C" w:rsidRDefault="009D3F26" w:rsidP="009D3F26">
      <w:pPr>
        <w:jc w:val="center"/>
        <w:rPr>
          <w:b/>
          <w:sz w:val="36"/>
          <w:szCs w:val="36"/>
        </w:rPr>
      </w:pPr>
      <w:r w:rsidRPr="00DB004C">
        <w:rPr>
          <w:b/>
          <w:sz w:val="36"/>
          <w:szCs w:val="36"/>
        </w:rPr>
        <w:t xml:space="preserve">Plán rozvoje sportu v obci </w:t>
      </w:r>
      <w:proofErr w:type="spellStart"/>
      <w:r w:rsidRPr="00DB004C">
        <w:rPr>
          <w:b/>
          <w:sz w:val="36"/>
          <w:szCs w:val="36"/>
        </w:rPr>
        <w:t>Koleč</w:t>
      </w:r>
      <w:proofErr w:type="spellEnd"/>
      <w:r w:rsidRPr="00DB004C">
        <w:rPr>
          <w:b/>
          <w:sz w:val="36"/>
          <w:szCs w:val="36"/>
        </w:rPr>
        <w:t xml:space="preserve"> </w:t>
      </w:r>
    </w:p>
    <w:p w:rsidR="001F57C0" w:rsidRPr="00DB004C" w:rsidRDefault="009D3F26" w:rsidP="009D3F26">
      <w:pPr>
        <w:jc w:val="center"/>
        <w:rPr>
          <w:b/>
          <w:sz w:val="36"/>
          <w:szCs w:val="36"/>
        </w:rPr>
      </w:pPr>
      <w:r w:rsidRPr="00DB004C">
        <w:rPr>
          <w:b/>
          <w:sz w:val="36"/>
          <w:szCs w:val="36"/>
        </w:rPr>
        <w:t>pro roky 2018-2022</w:t>
      </w:r>
    </w:p>
    <w:p w:rsidR="009D3F26" w:rsidRPr="009D3F26" w:rsidRDefault="009D3F26" w:rsidP="009D3F26">
      <w:pPr>
        <w:pStyle w:val="Default"/>
        <w:numPr>
          <w:ilvl w:val="0"/>
          <w:numId w:val="1"/>
        </w:numPr>
        <w:rPr>
          <w:b/>
        </w:rPr>
      </w:pPr>
      <w:r w:rsidRPr="009D3F26">
        <w:rPr>
          <w:b/>
        </w:rPr>
        <w:t>Úvodní ustanovení</w:t>
      </w:r>
    </w:p>
    <w:p w:rsidR="009D3F26" w:rsidRDefault="009D3F26" w:rsidP="009D3F26">
      <w:pPr>
        <w:pStyle w:val="Default"/>
      </w:pPr>
      <w:r>
        <w:t xml:space="preserve"> </w:t>
      </w:r>
    </w:p>
    <w:p w:rsidR="009D3F26" w:rsidRDefault="009D3F26" w:rsidP="009D3F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D53889">
        <w:rPr>
          <w:sz w:val="23"/>
          <w:szCs w:val="23"/>
        </w:rPr>
        <w:t>P</w:t>
      </w:r>
      <w:r>
        <w:rPr>
          <w:sz w:val="23"/>
          <w:szCs w:val="23"/>
        </w:rPr>
        <w:t xml:space="preserve">lán rozvoje sportu v obci </w:t>
      </w:r>
      <w:proofErr w:type="spellStart"/>
      <w:r>
        <w:rPr>
          <w:sz w:val="23"/>
          <w:szCs w:val="23"/>
        </w:rPr>
        <w:t>Koleč</w:t>
      </w:r>
      <w:proofErr w:type="spellEnd"/>
      <w:r>
        <w:rPr>
          <w:sz w:val="23"/>
          <w:szCs w:val="23"/>
        </w:rPr>
        <w:t xml:space="preserve"> je zpracován ve smyslu § 6 odst. 2 zákona č. 115/2001 Sb., o podpoře sportu, ve znění pozdějších předpisů. </w:t>
      </w:r>
    </w:p>
    <w:p w:rsidR="009D3F26" w:rsidRDefault="009D3F26" w:rsidP="009D3F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Koncepce podpory sportu v obci </w:t>
      </w:r>
      <w:proofErr w:type="spellStart"/>
      <w:r>
        <w:rPr>
          <w:sz w:val="23"/>
          <w:szCs w:val="23"/>
        </w:rPr>
        <w:t>Koleč</w:t>
      </w:r>
      <w:proofErr w:type="spellEnd"/>
      <w:r>
        <w:rPr>
          <w:sz w:val="23"/>
          <w:szCs w:val="23"/>
        </w:rPr>
        <w:t xml:space="preserve"> vychází ze Strategického plánu rozvoje obce </w:t>
      </w:r>
      <w:proofErr w:type="spellStart"/>
      <w:r>
        <w:rPr>
          <w:sz w:val="23"/>
          <w:szCs w:val="23"/>
        </w:rPr>
        <w:t>Koleč</w:t>
      </w:r>
      <w:proofErr w:type="spellEnd"/>
      <w:r>
        <w:rPr>
          <w:sz w:val="23"/>
          <w:szCs w:val="23"/>
        </w:rPr>
        <w:t>.</w:t>
      </w:r>
    </w:p>
    <w:p w:rsidR="009D3F26" w:rsidRDefault="009D3F26" w:rsidP="009D3F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Koncepce podpory sportu je otevřeným dokumentem, který se může měnit či doplňovat v závislosti na prioritách a potřebách obce. </w:t>
      </w:r>
    </w:p>
    <w:p w:rsidR="009D3F26" w:rsidRDefault="009D3F26" w:rsidP="009D3F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Cílem plánu</w:t>
      </w:r>
      <w:r w:rsidR="00D53889">
        <w:rPr>
          <w:sz w:val="23"/>
          <w:szCs w:val="23"/>
        </w:rPr>
        <w:t xml:space="preserve"> rozvoje</w:t>
      </w:r>
      <w:r>
        <w:rPr>
          <w:sz w:val="23"/>
          <w:szCs w:val="23"/>
        </w:rPr>
        <w:t xml:space="preserve"> sportu obecně, je podpořit sport ve všech jeho rovinách a stanovit způsob financování podpory sportu v obci. </w:t>
      </w:r>
    </w:p>
    <w:p w:rsidR="009D3F26" w:rsidRDefault="009D3F26" w:rsidP="009D3F26">
      <w:pPr>
        <w:pStyle w:val="Default"/>
        <w:rPr>
          <w:sz w:val="23"/>
          <w:szCs w:val="23"/>
        </w:rPr>
      </w:pPr>
    </w:p>
    <w:p w:rsidR="009D3F26" w:rsidRPr="009D3F26" w:rsidRDefault="009D3F26" w:rsidP="009D3F26">
      <w:pPr>
        <w:pStyle w:val="Default"/>
        <w:numPr>
          <w:ilvl w:val="0"/>
          <w:numId w:val="1"/>
        </w:numPr>
        <w:rPr>
          <w:b/>
        </w:rPr>
      </w:pPr>
      <w:r w:rsidRPr="009D3F26">
        <w:rPr>
          <w:b/>
        </w:rPr>
        <w:t>Hlavní cíle</w:t>
      </w:r>
    </w:p>
    <w:p w:rsidR="009D3F26" w:rsidRPr="00673325" w:rsidRDefault="009D3F26" w:rsidP="00673325">
      <w:pPr>
        <w:autoSpaceDE w:val="0"/>
        <w:autoSpaceDN w:val="0"/>
        <w:adjustRightInd w:val="0"/>
        <w:spacing w:after="0" w:line="240" w:lineRule="auto"/>
        <w:ind w:left="360"/>
        <w:rPr>
          <w:rFonts w:ascii="Wingdings" w:hAnsi="Wingdings" w:cs="Wingdings"/>
          <w:color w:val="000000"/>
          <w:sz w:val="24"/>
          <w:szCs w:val="24"/>
        </w:rPr>
      </w:pPr>
    </w:p>
    <w:p w:rsidR="009D3F26" w:rsidRPr="00673325" w:rsidRDefault="00673325" w:rsidP="0067332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9D3F26" w:rsidRPr="00673325">
        <w:rPr>
          <w:rFonts w:ascii="Times New Roman" w:hAnsi="Times New Roman" w:cs="Times New Roman"/>
          <w:color w:val="000000"/>
          <w:sz w:val="23"/>
          <w:szCs w:val="23"/>
        </w:rPr>
        <w:t xml:space="preserve">abezpečovat rozvoj sportu pro všechny, včetně zdravotně postižených občanů, </w:t>
      </w:r>
    </w:p>
    <w:p w:rsidR="009D3F26" w:rsidRPr="00673325" w:rsidRDefault="00673325" w:rsidP="0067332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9D3F26" w:rsidRPr="00673325">
        <w:rPr>
          <w:rFonts w:ascii="Times New Roman" w:hAnsi="Times New Roman" w:cs="Times New Roman"/>
          <w:color w:val="000000"/>
          <w:sz w:val="23"/>
          <w:szCs w:val="23"/>
        </w:rPr>
        <w:t xml:space="preserve">ajišťovat výstavbu, rekonstrukce, údržbu a provoz svých sportovních zařízení a zkvalitňovat je pro sportovní činnost občanů, </w:t>
      </w:r>
    </w:p>
    <w:p w:rsidR="009D3F26" w:rsidRPr="00673325" w:rsidRDefault="00673325" w:rsidP="0067332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 w:rsidR="009D3F26" w:rsidRPr="00673325">
        <w:rPr>
          <w:rFonts w:ascii="Times New Roman" w:hAnsi="Times New Roman" w:cs="Times New Roman"/>
          <w:color w:val="000000"/>
          <w:sz w:val="23"/>
          <w:szCs w:val="23"/>
        </w:rPr>
        <w:t xml:space="preserve">odporovat další provozovatele sportovních zařízení, včetně finanční pomoci, </w:t>
      </w:r>
    </w:p>
    <w:p w:rsidR="009D3F26" w:rsidRPr="00673325" w:rsidRDefault="00673325" w:rsidP="0067332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</w:t>
      </w:r>
      <w:r w:rsidR="009D3F26" w:rsidRPr="00673325">
        <w:rPr>
          <w:rFonts w:ascii="Times New Roman" w:hAnsi="Times New Roman" w:cs="Times New Roman"/>
          <w:color w:val="000000"/>
          <w:sz w:val="23"/>
          <w:szCs w:val="23"/>
        </w:rPr>
        <w:t xml:space="preserve">ontrolovat účelné využívání svých sportovních zařízení, </w:t>
      </w:r>
    </w:p>
    <w:p w:rsidR="009D3F26" w:rsidRPr="00673325" w:rsidRDefault="00673325" w:rsidP="0067332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9D3F26" w:rsidRPr="00673325">
        <w:rPr>
          <w:rFonts w:ascii="Times New Roman" w:hAnsi="Times New Roman" w:cs="Times New Roman"/>
          <w:color w:val="000000"/>
          <w:sz w:val="23"/>
          <w:szCs w:val="23"/>
        </w:rPr>
        <w:t xml:space="preserve">abezpečovat finanční podporu sportu ze svého rozpočtu, </w:t>
      </w:r>
    </w:p>
    <w:p w:rsidR="009D3F26" w:rsidRDefault="00673325" w:rsidP="0067332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 w:rsidR="009D3F26" w:rsidRPr="00673325">
        <w:rPr>
          <w:rFonts w:ascii="Times New Roman" w:hAnsi="Times New Roman" w:cs="Times New Roman"/>
          <w:color w:val="000000"/>
          <w:sz w:val="23"/>
          <w:szCs w:val="23"/>
        </w:rPr>
        <w:t xml:space="preserve">odporovat úspěšné místní sportovce a jejich reprezentaci obce. </w:t>
      </w:r>
    </w:p>
    <w:p w:rsidR="00673325" w:rsidRDefault="00673325" w:rsidP="006733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673325" w:rsidRDefault="00673325" w:rsidP="0067332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673325">
        <w:rPr>
          <w:rFonts w:ascii="Times New Roman" w:hAnsi="Times New Roman" w:cs="Times New Roman"/>
          <w:b/>
          <w:color w:val="000000"/>
          <w:sz w:val="23"/>
          <w:szCs w:val="23"/>
        </w:rPr>
        <w:t>Přehled stávajících sportovišť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na území obce</w:t>
      </w:r>
    </w:p>
    <w:p w:rsidR="00673325" w:rsidRDefault="00673325" w:rsidP="006733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73325" w:rsidRDefault="00FA0C9A" w:rsidP="00FA0C9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Fotbalové hřiště</w:t>
      </w:r>
    </w:p>
    <w:p w:rsidR="00FA0C9A" w:rsidRDefault="00FA0C9A" w:rsidP="00FA0C9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FA0C9A" w:rsidRDefault="00FA0C9A" w:rsidP="00FA0C9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FA0C9A">
        <w:rPr>
          <w:rFonts w:ascii="Times New Roman" w:hAnsi="Times New Roman" w:cs="Times New Roman"/>
          <w:color w:val="000000"/>
          <w:sz w:val="23"/>
          <w:szCs w:val="23"/>
        </w:rPr>
        <w:t xml:space="preserve">Hřiště je ve vlastnictví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FC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Koleč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z.s.,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č.p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188, 27329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Koleč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. Ke své činnosti je využíváno fotbalovým klubem, jehož mužstvo hraje </w:t>
      </w:r>
      <w:r w:rsidR="00DB004C">
        <w:rPr>
          <w:rFonts w:ascii="Times New Roman" w:hAnsi="Times New Roman" w:cs="Times New Roman"/>
          <w:color w:val="000000"/>
          <w:sz w:val="23"/>
          <w:szCs w:val="23"/>
        </w:rPr>
        <w:t xml:space="preserve">III. třídu, skupina B, Okresního přeboru. Fotbalový klub zapůjčuje hřiště i pro akce pořádané kulturní komisí obce nebo pro akce ZŠ </w:t>
      </w:r>
      <w:proofErr w:type="spellStart"/>
      <w:r w:rsidR="00DB004C">
        <w:rPr>
          <w:rFonts w:ascii="Times New Roman" w:hAnsi="Times New Roman" w:cs="Times New Roman"/>
          <w:color w:val="000000"/>
          <w:sz w:val="23"/>
          <w:szCs w:val="23"/>
        </w:rPr>
        <w:t>Koleč</w:t>
      </w:r>
      <w:proofErr w:type="spellEnd"/>
      <w:r w:rsidR="00DB004C">
        <w:rPr>
          <w:rFonts w:ascii="Times New Roman" w:hAnsi="Times New Roman" w:cs="Times New Roman"/>
          <w:color w:val="000000"/>
          <w:sz w:val="23"/>
          <w:szCs w:val="23"/>
        </w:rPr>
        <w:t xml:space="preserve"> nebo MŠ </w:t>
      </w:r>
      <w:proofErr w:type="spellStart"/>
      <w:r w:rsidR="00DB004C">
        <w:rPr>
          <w:rFonts w:ascii="Times New Roman" w:hAnsi="Times New Roman" w:cs="Times New Roman"/>
          <w:color w:val="000000"/>
          <w:sz w:val="23"/>
          <w:szCs w:val="23"/>
        </w:rPr>
        <w:t>Koleč</w:t>
      </w:r>
      <w:proofErr w:type="spellEnd"/>
      <w:r w:rsidR="00DB004C">
        <w:rPr>
          <w:rFonts w:ascii="Times New Roman" w:hAnsi="Times New Roman" w:cs="Times New Roman"/>
          <w:color w:val="000000"/>
          <w:sz w:val="23"/>
          <w:szCs w:val="23"/>
        </w:rPr>
        <w:t xml:space="preserve"> a další sportovní aktivity jako je turnaj v </w:t>
      </w:r>
      <w:proofErr w:type="spellStart"/>
      <w:r w:rsidR="00DB004C">
        <w:rPr>
          <w:rFonts w:ascii="Times New Roman" w:hAnsi="Times New Roman" w:cs="Times New Roman"/>
          <w:color w:val="000000"/>
          <w:sz w:val="23"/>
          <w:szCs w:val="23"/>
        </w:rPr>
        <w:t>Bumper</w:t>
      </w:r>
      <w:proofErr w:type="spellEnd"/>
      <w:r w:rsidR="00DB004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B004C">
        <w:rPr>
          <w:rFonts w:ascii="Times New Roman" w:hAnsi="Times New Roman" w:cs="Times New Roman"/>
          <w:color w:val="000000"/>
          <w:sz w:val="23"/>
          <w:szCs w:val="23"/>
        </w:rPr>
        <w:t>Ballu</w:t>
      </w:r>
      <w:proofErr w:type="spellEnd"/>
      <w:r w:rsidR="00DB004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B004C" w:rsidRPr="00FA0C9A" w:rsidRDefault="00DB004C" w:rsidP="00FA0C9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673325" w:rsidRPr="00673325" w:rsidRDefault="00DB004C" w:rsidP="006733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/>
          <w:sz w:val="23"/>
          <w:szCs w:val="23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6236335</wp:posOffset>
            </wp:positionV>
            <wp:extent cx="3819525" cy="3394710"/>
            <wp:effectExtent l="19050" t="0" r="9525" b="0"/>
            <wp:wrapSquare wrapText="bothSides"/>
            <wp:docPr id="1" name="Obrázek 0" descr="fotbal hřišt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bal hřiště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F26" w:rsidRDefault="009D3F26" w:rsidP="009D3F26">
      <w:pPr>
        <w:rPr>
          <w:b/>
          <w:sz w:val="24"/>
          <w:szCs w:val="24"/>
        </w:rPr>
      </w:pPr>
    </w:p>
    <w:p w:rsidR="008E0350" w:rsidRDefault="008E0350" w:rsidP="009D3F26">
      <w:pPr>
        <w:rPr>
          <w:b/>
          <w:sz w:val="24"/>
          <w:szCs w:val="24"/>
        </w:rPr>
      </w:pPr>
    </w:p>
    <w:p w:rsidR="008E0350" w:rsidRDefault="008E0350" w:rsidP="009D3F26">
      <w:pPr>
        <w:rPr>
          <w:b/>
          <w:sz w:val="24"/>
          <w:szCs w:val="24"/>
        </w:rPr>
      </w:pPr>
    </w:p>
    <w:p w:rsidR="008E0350" w:rsidRDefault="008E0350" w:rsidP="009D3F26">
      <w:pPr>
        <w:rPr>
          <w:b/>
          <w:sz w:val="24"/>
          <w:szCs w:val="24"/>
        </w:rPr>
      </w:pPr>
    </w:p>
    <w:p w:rsidR="008E0350" w:rsidRDefault="008E0350" w:rsidP="009D3F26">
      <w:pPr>
        <w:rPr>
          <w:b/>
          <w:sz w:val="24"/>
          <w:szCs w:val="24"/>
        </w:rPr>
      </w:pPr>
    </w:p>
    <w:p w:rsidR="008E0350" w:rsidRDefault="008E0350" w:rsidP="009D3F26">
      <w:pPr>
        <w:rPr>
          <w:b/>
          <w:sz w:val="24"/>
          <w:szCs w:val="24"/>
        </w:rPr>
      </w:pPr>
    </w:p>
    <w:p w:rsidR="008E0350" w:rsidRDefault="008E0350" w:rsidP="009D3F26">
      <w:pPr>
        <w:rPr>
          <w:b/>
          <w:sz w:val="24"/>
          <w:szCs w:val="24"/>
        </w:rPr>
      </w:pPr>
    </w:p>
    <w:p w:rsidR="008E0350" w:rsidRDefault="008E0350" w:rsidP="009D3F26">
      <w:pPr>
        <w:rPr>
          <w:b/>
          <w:sz w:val="24"/>
          <w:szCs w:val="24"/>
        </w:rPr>
      </w:pPr>
    </w:p>
    <w:p w:rsidR="008E0350" w:rsidRDefault="008E0350" w:rsidP="009D3F26">
      <w:pPr>
        <w:rPr>
          <w:b/>
          <w:sz w:val="24"/>
          <w:szCs w:val="24"/>
        </w:rPr>
      </w:pPr>
    </w:p>
    <w:p w:rsidR="008E0350" w:rsidRDefault="008E0350" w:rsidP="009D3F26">
      <w:pPr>
        <w:rPr>
          <w:b/>
          <w:sz w:val="24"/>
          <w:szCs w:val="24"/>
        </w:rPr>
      </w:pPr>
    </w:p>
    <w:p w:rsidR="008E0350" w:rsidRDefault="008E0350" w:rsidP="008E0350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Školní hřiště na míčové hry</w:t>
      </w:r>
    </w:p>
    <w:p w:rsidR="008E0350" w:rsidRDefault="008E0350" w:rsidP="008E0350">
      <w:pPr>
        <w:ind w:left="360"/>
        <w:rPr>
          <w:sz w:val="24"/>
          <w:szCs w:val="24"/>
        </w:rPr>
      </w:pPr>
      <w:r>
        <w:rPr>
          <w:sz w:val="24"/>
          <w:szCs w:val="24"/>
        </w:rPr>
        <w:t>Školní hřiště na míčové hry bylo vybudováno v </w:t>
      </w:r>
      <w:r w:rsidR="00DF5E06">
        <w:rPr>
          <w:sz w:val="24"/>
          <w:szCs w:val="24"/>
        </w:rPr>
        <w:t>blízkosti</w:t>
      </w:r>
      <w:r>
        <w:rPr>
          <w:sz w:val="24"/>
          <w:szCs w:val="24"/>
        </w:rPr>
        <w:t xml:space="preserve"> </w:t>
      </w:r>
      <w:r w:rsidR="007E26C2">
        <w:rPr>
          <w:sz w:val="24"/>
          <w:szCs w:val="24"/>
        </w:rPr>
        <w:t xml:space="preserve">Základní školy </w:t>
      </w:r>
      <w:proofErr w:type="spellStart"/>
      <w:r w:rsidR="007E26C2">
        <w:rPr>
          <w:sz w:val="24"/>
          <w:szCs w:val="24"/>
        </w:rPr>
        <w:t>Koleč</w:t>
      </w:r>
      <w:proofErr w:type="spellEnd"/>
      <w:r w:rsidR="007E26C2">
        <w:rPr>
          <w:sz w:val="24"/>
          <w:szCs w:val="24"/>
        </w:rPr>
        <w:t xml:space="preserve"> v roce 2010.</w:t>
      </w:r>
      <w:r>
        <w:rPr>
          <w:sz w:val="24"/>
          <w:szCs w:val="24"/>
        </w:rPr>
        <w:t xml:space="preserve"> Slouží nejen pro Základní školu, ale v odpoledních hodinách a volných dnech je k dispozici </w:t>
      </w:r>
      <w:r w:rsidR="00DF5E06">
        <w:rPr>
          <w:sz w:val="24"/>
          <w:szCs w:val="24"/>
        </w:rPr>
        <w:t>veřejnosti. Hřiště je určeno pro míčové hry jako volejbal, nohejbal, košíková apod. Hřiště je opatřeno umělým povrchem.</w:t>
      </w:r>
    </w:p>
    <w:p w:rsidR="00DF5E06" w:rsidRDefault="00DF5E06" w:rsidP="008E0350">
      <w:pPr>
        <w:ind w:left="360"/>
        <w:rPr>
          <w:sz w:val="24"/>
          <w:szCs w:val="24"/>
        </w:rPr>
      </w:pPr>
    </w:p>
    <w:p w:rsidR="00DF5E06" w:rsidRDefault="00DF5E06" w:rsidP="008E0350">
      <w:pPr>
        <w:ind w:left="360"/>
        <w:rPr>
          <w:sz w:val="24"/>
          <w:szCs w:val="24"/>
        </w:rPr>
      </w:pPr>
    </w:p>
    <w:p w:rsidR="00DF5E06" w:rsidRDefault="00DF5E06" w:rsidP="008E0350">
      <w:pPr>
        <w:ind w:left="360"/>
        <w:rPr>
          <w:sz w:val="24"/>
          <w:szCs w:val="24"/>
        </w:rPr>
      </w:pPr>
    </w:p>
    <w:p w:rsidR="00DF5E06" w:rsidRDefault="00DF5E06" w:rsidP="008E0350">
      <w:pPr>
        <w:ind w:left="360"/>
        <w:rPr>
          <w:sz w:val="24"/>
          <w:szCs w:val="24"/>
        </w:rPr>
      </w:pPr>
    </w:p>
    <w:p w:rsidR="00DF5E06" w:rsidRDefault="00DF5E06" w:rsidP="008E0350">
      <w:pPr>
        <w:ind w:left="360"/>
        <w:rPr>
          <w:sz w:val="24"/>
          <w:szCs w:val="24"/>
        </w:rPr>
      </w:pPr>
    </w:p>
    <w:p w:rsidR="00DF5E06" w:rsidRDefault="00DF5E06" w:rsidP="008E0350">
      <w:pPr>
        <w:ind w:left="360"/>
        <w:rPr>
          <w:sz w:val="24"/>
          <w:szCs w:val="24"/>
        </w:rPr>
      </w:pPr>
    </w:p>
    <w:p w:rsidR="00DF5E06" w:rsidRDefault="00DF5E06" w:rsidP="008E0350">
      <w:pPr>
        <w:ind w:left="360"/>
        <w:rPr>
          <w:sz w:val="24"/>
          <w:szCs w:val="24"/>
        </w:rPr>
      </w:pPr>
    </w:p>
    <w:p w:rsidR="00DF5E06" w:rsidRDefault="00DF5E06" w:rsidP="008E0350">
      <w:pPr>
        <w:ind w:left="360"/>
        <w:rPr>
          <w:sz w:val="24"/>
          <w:szCs w:val="24"/>
        </w:rPr>
      </w:pPr>
    </w:p>
    <w:p w:rsidR="00DF5E06" w:rsidRDefault="00DF5E06" w:rsidP="008E0350">
      <w:pPr>
        <w:ind w:left="360"/>
        <w:rPr>
          <w:sz w:val="24"/>
          <w:szCs w:val="24"/>
        </w:rPr>
      </w:pPr>
    </w:p>
    <w:p w:rsidR="00DF5E06" w:rsidRDefault="00DF5E06" w:rsidP="008E0350">
      <w:pPr>
        <w:ind w:left="360"/>
        <w:rPr>
          <w:sz w:val="24"/>
          <w:szCs w:val="24"/>
        </w:rPr>
      </w:pPr>
    </w:p>
    <w:p w:rsidR="00DF5E06" w:rsidRDefault="00DF5E06" w:rsidP="008E0350">
      <w:pPr>
        <w:ind w:left="360"/>
        <w:rPr>
          <w:sz w:val="24"/>
          <w:szCs w:val="24"/>
        </w:rPr>
      </w:pPr>
    </w:p>
    <w:p w:rsidR="00DF5E06" w:rsidRDefault="00DF5E06" w:rsidP="00DF5E06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DF5E06">
        <w:rPr>
          <w:b/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1474470</wp:posOffset>
            </wp:positionV>
            <wp:extent cx="4772025" cy="3455670"/>
            <wp:effectExtent l="19050" t="0" r="9525" b="0"/>
            <wp:wrapSquare wrapText="bothSides"/>
            <wp:docPr id="4" name="Obrázek 3" descr="hř u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ř u škol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5E06">
        <w:rPr>
          <w:b/>
          <w:sz w:val="24"/>
          <w:szCs w:val="24"/>
        </w:rPr>
        <w:t>Dětské hřiště u mateřské školy</w:t>
      </w:r>
    </w:p>
    <w:p w:rsidR="00DF5E06" w:rsidRDefault="00DF5E06" w:rsidP="00DF5E06">
      <w:pPr>
        <w:ind w:left="360"/>
        <w:rPr>
          <w:sz w:val="24"/>
          <w:szCs w:val="24"/>
        </w:rPr>
      </w:pPr>
      <w:r>
        <w:rPr>
          <w:sz w:val="24"/>
          <w:szCs w:val="24"/>
        </w:rPr>
        <w:t>Dětské hřiště u mateřské školy bylo vybudováno</w:t>
      </w:r>
      <w:r w:rsidR="007E26C2">
        <w:rPr>
          <w:sz w:val="24"/>
          <w:szCs w:val="24"/>
        </w:rPr>
        <w:t xml:space="preserve"> v roce 2007</w:t>
      </w:r>
      <w:r>
        <w:rPr>
          <w:sz w:val="24"/>
          <w:szCs w:val="24"/>
        </w:rPr>
        <w:t xml:space="preserve"> především pro využití Mateřskou školou </w:t>
      </w:r>
      <w:proofErr w:type="spellStart"/>
      <w:r>
        <w:rPr>
          <w:sz w:val="24"/>
          <w:szCs w:val="24"/>
        </w:rPr>
        <w:t>Koleč</w:t>
      </w:r>
      <w:proofErr w:type="spellEnd"/>
      <w:r>
        <w:rPr>
          <w:sz w:val="24"/>
          <w:szCs w:val="24"/>
        </w:rPr>
        <w:t>, která hřiště využívá jak dopoledne, tak odpoledne. Pokud není hřiště využíváno, je přístupné u veřejnosti. Hřiště je vybaveno hracími prvky určenými pro děti od tří let. Hrací prvky v roce 2017 prošly rekonstrukcí.</w:t>
      </w:r>
    </w:p>
    <w:p w:rsidR="007E26C2" w:rsidRDefault="007E26C2" w:rsidP="007E26C2">
      <w:pPr>
        <w:ind w:left="36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131225" cy="3019425"/>
            <wp:effectExtent l="19050" t="0" r="0" b="0"/>
            <wp:docPr id="5" name="Obrázek 4" descr="dět hřiště ško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 hřiště škol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2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6C2" w:rsidRDefault="00F5610D" w:rsidP="00F5610D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F5610D">
        <w:rPr>
          <w:b/>
          <w:sz w:val="24"/>
          <w:szCs w:val="24"/>
        </w:rPr>
        <w:lastRenderedPageBreak/>
        <w:t>Dětské hřiště u pohostinství Slávie</w:t>
      </w:r>
    </w:p>
    <w:p w:rsidR="00F5610D" w:rsidRDefault="00F5610D" w:rsidP="00DA32F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Dětské hřiště bylo vybudováno pro veřejnost na pozemku dříve </w:t>
      </w:r>
      <w:r w:rsidR="00DA32F1">
        <w:rPr>
          <w:sz w:val="24"/>
          <w:szCs w:val="24"/>
        </w:rPr>
        <w:t xml:space="preserve">využívaném pro venkovní </w:t>
      </w:r>
      <w:proofErr w:type="spellStart"/>
      <w:r w:rsidR="00DA32F1">
        <w:rPr>
          <w:sz w:val="24"/>
          <w:szCs w:val="24"/>
        </w:rPr>
        <w:t>taneční</w:t>
      </w:r>
      <w:r>
        <w:rPr>
          <w:sz w:val="24"/>
          <w:szCs w:val="24"/>
        </w:rPr>
        <w:t>zábavy</w:t>
      </w:r>
      <w:proofErr w:type="spellEnd"/>
      <w:r>
        <w:rPr>
          <w:sz w:val="24"/>
          <w:szCs w:val="24"/>
        </w:rPr>
        <w:t xml:space="preserve"> a posezení. Hřiště je vybaveno pískovištěm, houpačkami a některými hracími prvky. V současné době je málo využívané s ohledem na omezené vybavení a stav hracích prvků.</w:t>
      </w:r>
    </w:p>
    <w:p w:rsidR="00DA32F1" w:rsidRDefault="00725D17" w:rsidP="00DA32F1">
      <w:pPr>
        <w:ind w:left="36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1664970</wp:posOffset>
            </wp:positionH>
            <wp:positionV relativeFrom="margin">
              <wp:posOffset>1188720</wp:posOffset>
            </wp:positionV>
            <wp:extent cx="2915920" cy="3743325"/>
            <wp:effectExtent l="19050" t="0" r="0" b="0"/>
            <wp:wrapSquare wrapText="bothSides"/>
            <wp:docPr id="6" name="Obrázek 5" descr="dět hřiště u pohostinstv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ět hřiště u pohostinství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32F1" w:rsidRDefault="00DA32F1" w:rsidP="00DA32F1">
      <w:pPr>
        <w:ind w:left="360"/>
        <w:jc w:val="center"/>
        <w:rPr>
          <w:sz w:val="24"/>
          <w:szCs w:val="24"/>
        </w:rPr>
      </w:pPr>
    </w:p>
    <w:p w:rsidR="00DA32F1" w:rsidRDefault="00DA32F1" w:rsidP="00DA32F1">
      <w:pPr>
        <w:ind w:left="360"/>
        <w:jc w:val="center"/>
        <w:rPr>
          <w:sz w:val="24"/>
          <w:szCs w:val="24"/>
        </w:rPr>
      </w:pPr>
    </w:p>
    <w:p w:rsidR="00DA32F1" w:rsidRDefault="00DA32F1" w:rsidP="00DA32F1">
      <w:pPr>
        <w:ind w:left="360"/>
        <w:jc w:val="center"/>
        <w:rPr>
          <w:sz w:val="24"/>
          <w:szCs w:val="24"/>
        </w:rPr>
      </w:pPr>
    </w:p>
    <w:p w:rsidR="00DA32F1" w:rsidRDefault="00DA32F1" w:rsidP="00DA32F1">
      <w:pPr>
        <w:ind w:left="360"/>
        <w:jc w:val="center"/>
        <w:rPr>
          <w:sz w:val="24"/>
          <w:szCs w:val="24"/>
        </w:rPr>
      </w:pPr>
    </w:p>
    <w:p w:rsidR="00DA32F1" w:rsidRDefault="00DA32F1" w:rsidP="00DA32F1">
      <w:pPr>
        <w:ind w:left="360"/>
        <w:jc w:val="center"/>
        <w:rPr>
          <w:sz w:val="24"/>
          <w:szCs w:val="24"/>
        </w:rPr>
      </w:pPr>
    </w:p>
    <w:p w:rsidR="00DA32F1" w:rsidRDefault="00DA32F1" w:rsidP="00DA32F1">
      <w:pPr>
        <w:ind w:left="360"/>
        <w:jc w:val="center"/>
        <w:rPr>
          <w:sz w:val="24"/>
          <w:szCs w:val="24"/>
        </w:rPr>
      </w:pPr>
    </w:p>
    <w:p w:rsidR="00DA32F1" w:rsidRDefault="00DA32F1" w:rsidP="00DA32F1">
      <w:pPr>
        <w:ind w:left="360"/>
        <w:jc w:val="center"/>
        <w:rPr>
          <w:sz w:val="24"/>
          <w:szCs w:val="24"/>
        </w:rPr>
      </w:pPr>
    </w:p>
    <w:p w:rsidR="00725D17" w:rsidRDefault="00725D17" w:rsidP="00DA32F1">
      <w:pPr>
        <w:ind w:left="360"/>
        <w:jc w:val="center"/>
        <w:rPr>
          <w:sz w:val="24"/>
          <w:szCs w:val="24"/>
        </w:rPr>
      </w:pPr>
    </w:p>
    <w:p w:rsidR="00725D17" w:rsidRDefault="00725D17" w:rsidP="00DA32F1">
      <w:pPr>
        <w:ind w:left="360"/>
        <w:jc w:val="center"/>
        <w:rPr>
          <w:sz w:val="24"/>
          <w:szCs w:val="24"/>
        </w:rPr>
      </w:pPr>
    </w:p>
    <w:p w:rsidR="00725D17" w:rsidRDefault="00725D17" w:rsidP="00DA32F1">
      <w:pPr>
        <w:ind w:left="360"/>
        <w:jc w:val="center"/>
        <w:rPr>
          <w:sz w:val="24"/>
          <w:szCs w:val="24"/>
        </w:rPr>
      </w:pPr>
    </w:p>
    <w:p w:rsidR="00725D17" w:rsidRDefault="00725D17" w:rsidP="00DA32F1">
      <w:pPr>
        <w:ind w:left="360"/>
        <w:jc w:val="center"/>
        <w:rPr>
          <w:sz w:val="24"/>
          <w:szCs w:val="24"/>
        </w:rPr>
      </w:pPr>
    </w:p>
    <w:p w:rsidR="00725D17" w:rsidRDefault="00725D17" w:rsidP="00725D17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Tělocvična</w:t>
      </w:r>
    </w:p>
    <w:p w:rsidR="00725D17" w:rsidRDefault="00725D17" w:rsidP="00725D1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Nově vybudovaná tělocvična zprovozněná v závěru roku 2017 slouží především pro potřeby ZŠ </w:t>
      </w:r>
      <w:proofErr w:type="spellStart"/>
      <w:r>
        <w:rPr>
          <w:sz w:val="24"/>
          <w:szCs w:val="24"/>
        </w:rPr>
        <w:t>Koleč</w:t>
      </w:r>
      <w:proofErr w:type="spellEnd"/>
      <w:r>
        <w:rPr>
          <w:sz w:val="24"/>
          <w:szCs w:val="24"/>
        </w:rPr>
        <w:t xml:space="preserve"> a MŠ </w:t>
      </w:r>
      <w:proofErr w:type="spellStart"/>
      <w:r>
        <w:rPr>
          <w:sz w:val="24"/>
          <w:szCs w:val="24"/>
        </w:rPr>
        <w:t>Koleč</w:t>
      </w:r>
      <w:proofErr w:type="spellEnd"/>
      <w:r>
        <w:rPr>
          <w:sz w:val="24"/>
          <w:szCs w:val="24"/>
        </w:rPr>
        <w:t xml:space="preserve">. Mimo hodiny rezervované pro výuku ve školách je určena pro využití širokou veřejností. V současné době ji využívá řada kroužků pro děti a slouží i pro rekreační cvičení dospělých. Vzhledem k tomu, že v okolních obcích není k dispozici podobné zařízení, je její využití k dispozici i občanům z těchto obcí. </w:t>
      </w:r>
    </w:p>
    <w:p w:rsidR="00725D17" w:rsidRPr="00725D17" w:rsidRDefault="00725D17" w:rsidP="00725D17">
      <w:pPr>
        <w:ind w:left="36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3514725" cy="2986014"/>
            <wp:effectExtent l="19050" t="0" r="9525" b="0"/>
            <wp:docPr id="8" name="Obrázek 7" descr="tělocvič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ělocvičn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607" cy="298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004" w:rsidRDefault="00F11004" w:rsidP="00F1100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Akce na podporu rozvoje sportovních aktivit</w:t>
      </w:r>
    </w:p>
    <w:p w:rsidR="0086434A" w:rsidRPr="00963F4F" w:rsidRDefault="0086434A" w:rsidP="0086434A">
      <w:pPr>
        <w:pStyle w:val="Odstavecseseznamem"/>
        <w:rPr>
          <w:b/>
          <w:sz w:val="16"/>
          <w:szCs w:val="16"/>
        </w:rPr>
      </w:pPr>
    </w:p>
    <w:p w:rsidR="00F11004" w:rsidRDefault="00F11004" w:rsidP="00F11004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Hry bez hranic </w:t>
      </w:r>
      <w:r w:rsidR="0086434A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Budečsko</w:t>
      </w:r>
      <w:proofErr w:type="spellEnd"/>
    </w:p>
    <w:p w:rsidR="0086434A" w:rsidRPr="0086434A" w:rsidRDefault="0086434A" w:rsidP="0086434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Od roku 2016 probíhá pravidelná soutěž družstev obcí sdružení </w:t>
      </w:r>
      <w:proofErr w:type="spellStart"/>
      <w:r>
        <w:rPr>
          <w:sz w:val="24"/>
          <w:szCs w:val="24"/>
        </w:rPr>
        <w:t>Budečsko</w:t>
      </w:r>
      <w:proofErr w:type="spellEnd"/>
      <w:r>
        <w:rPr>
          <w:sz w:val="24"/>
          <w:szCs w:val="24"/>
        </w:rPr>
        <w:t xml:space="preserve"> soutěž družstev ve sportovních disciplínách. Cílem akce je zapojení širší veřejnosti a propagace sportu jako takového. Akce probíhá tradičně v prostorách koupaliště v </w:t>
      </w:r>
      <w:proofErr w:type="spellStart"/>
      <w:r>
        <w:rPr>
          <w:sz w:val="24"/>
          <w:szCs w:val="24"/>
        </w:rPr>
        <w:t>Otvovocích</w:t>
      </w:r>
      <w:proofErr w:type="spellEnd"/>
      <w:r>
        <w:rPr>
          <w:sz w:val="24"/>
          <w:szCs w:val="24"/>
        </w:rPr>
        <w:t xml:space="preserve"> vždy v měsíci červnu. V organizování jednotlivých ročníků se jednotlivé obce střídají.</w:t>
      </w:r>
    </w:p>
    <w:p w:rsidR="00725D17" w:rsidRPr="0086434A" w:rsidRDefault="00725D17" w:rsidP="0086434A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86434A">
        <w:rPr>
          <w:b/>
          <w:sz w:val="24"/>
          <w:szCs w:val="24"/>
        </w:rPr>
        <w:t>Turistické trasy v obci a okolí</w:t>
      </w:r>
    </w:p>
    <w:p w:rsidR="00725D17" w:rsidRDefault="00725D17" w:rsidP="00725D1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Přes obec prochází žlutá turistická trasa vedoucí ze </w:t>
      </w:r>
      <w:proofErr w:type="spellStart"/>
      <w:r>
        <w:rPr>
          <w:sz w:val="24"/>
          <w:szCs w:val="24"/>
        </w:rPr>
        <w:t>Zákolan</w:t>
      </w:r>
      <w:proofErr w:type="spellEnd"/>
      <w:r>
        <w:rPr>
          <w:sz w:val="24"/>
          <w:szCs w:val="24"/>
        </w:rPr>
        <w:t xml:space="preserve"> přes osady </w:t>
      </w:r>
      <w:proofErr w:type="spellStart"/>
      <w:r>
        <w:rPr>
          <w:sz w:val="24"/>
          <w:szCs w:val="24"/>
        </w:rPr>
        <w:t>Mozolín</w:t>
      </w:r>
      <w:proofErr w:type="spellEnd"/>
      <w:r>
        <w:rPr>
          <w:sz w:val="24"/>
          <w:szCs w:val="24"/>
        </w:rPr>
        <w:t xml:space="preserve">, Týnec do Kolče a pokračující směrem na </w:t>
      </w:r>
      <w:proofErr w:type="spellStart"/>
      <w:r>
        <w:rPr>
          <w:sz w:val="24"/>
          <w:szCs w:val="24"/>
        </w:rPr>
        <w:t>Brodce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Brandýsek</w:t>
      </w:r>
      <w:proofErr w:type="spellEnd"/>
      <w:r>
        <w:rPr>
          <w:sz w:val="24"/>
          <w:szCs w:val="24"/>
        </w:rPr>
        <w:t xml:space="preserve">. </w:t>
      </w:r>
      <w:r w:rsidR="00EF5411">
        <w:rPr>
          <w:sz w:val="24"/>
          <w:szCs w:val="24"/>
        </w:rPr>
        <w:t>V katastru naší obce tak spojuje významné pamětihodnosti, jako jsou „Boží muka“ a studánka sv. Václava v Týnci a zámek v </w:t>
      </w:r>
      <w:proofErr w:type="spellStart"/>
      <w:r w:rsidR="00EF5411">
        <w:rPr>
          <w:sz w:val="24"/>
          <w:szCs w:val="24"/>
        </w:rPr>
        <w:t>Kolči</w:t>
      </w:r>
      <w:proofErr w:type="spellEnd"/>
      <w:r w:rsidR="00EF5411">
        <w:rPr>
          <w:sz w:val="24"/>
          <w:szCs w:val="24"/>
        </w:rPr>
        <w:t xml:space="preserve"> s muzeem včelařství. Obec se pravidelně udržuje uvedenou turistickou trasu vedoucí jak po místních komunikacích, tak po polních cestách. Péče je věnována i údržbě a postupné obnově památek. Údržbou cest tak přispívá k rozvoji turistiky v regionu. Aktivně je zapojena i do propagace památek a turistických tras na trati Praha Smíchov Slaný, která prochází obcí a na které pravidelně jezdí turistický vlak „</w:t>
      </w:r>
      <w:proofErr w:type="spellStart"/>
      <w:r w:rsidR="00EF5411">
        <w:rPr>
          <w:sz w:val="24"/>
          <w:szCs w:val="24"/>
        </w:rPr>
        <w:t>Cyklohráček</w:t>
      </w:r>
      <w:proofErr w:type="spellEnd"/>
      <w:r w:rsidR="00EF5411">
        <w:rPr>
          <w:sz w:val="24"/>
          <w:szCs w:val="24"/>
        </w:rPr>
        <w:t>“.</w:t>
      </w:r>
    </w:p>
    <w:p w:rsidR="00EF5411" w:rsidRDefault="00EF5411" w:rsidP="00EF5411">
      <w:pPr>
        <w:ind w:left="36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3981450" cy="2738527"/>
            <wp:effectExtent l="19050" t="0" r="0" b="0"/>
            <wp:docPr id="9" name="Obrázek 8" descr="tur 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 map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4908" cy="274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004" w:rsidRDefault="00F11004" w:rsidP="00F1100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521A43">
        <w:rPr>
          <w:b/>
          <w:sz w:val="24"/>
          <w:szCs w:val="24"/>
        </w:rPr>
        <w:t>Plán investic do rozvoje sportu</w:t>
      </w:r>
      <w:r w:rsidR="00521A43">
        <w:rPr>
          <w:b/>
          <w:sz w:val="24"/>
          <w:szCs w:val="24"/>
        </w:rPr>
        <w:t xml:space="preserve"> v letech 2018-2022 a </w:t>
      </w:r>
      <w:r w:rsidR="00D001F2">
        <w:rPr>
          <w:b/>
          <w:sz w:val="24"/>
          <w:szCs w:val="24"/>
        </w:rPr>
        <w:t>hlavní priority</w:t>
      </w:r>
    </w:p>
    <w:tbl>
      <w:tblPr>
        <w:tblStyle w:val="Mkatabulky"/>
        <w:tblW w:w="0" w:type="auto"/>
        <w:tblInd w:w="360" w:type="dxa"/>
        <w:tblLayout w:type="fixed"/>
        <w:tblLook w:val="04A0"/>
      </w:tblPr>
      <w:tblGrid>
        <w:gridCol w:w="2300"/>
        <w:gridCol w:w="1134"/>
        <w:gridCol w:w="1276"/>
        <w:gridCol w:w="1134"/>
        <w:gridCol w:w="1275"/>
        <w:gridCol w:w="1276"/>
      </w:tblGrid>
      <w:tr w:rsidR="00572642" w:rsidTr="00572642">
        <w:tc>
          <w:tcPr>
            <w:tcW w:w="2300" w:type="dxa"/>
          </w:tcPr>
          <w:p w:rsidR="00572642" w:rsidRDefault="00572642" w:rsidP="0052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akce/výše nákladů</w:t>
            </w:r>
          </w:p>
        </w:tc>
        <w:tc>
          <w:tcPr>
            <w:tcW w:w="1134" w:type="dxa"/>
          </w:tcPr>
          <w:p w:rsidR="00572642" w:rsidRDefault="00572642" w:rsidP="0052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72642" w:rsidRDefault="00572642" w:rsidP="0052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572642" w:rsidRDefault="00572642" w:rsidP="0052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275" w:type="dxa"/>
          </w:tcPr>
          <w:p w:rsidR="00572642" w:rsidRDefault="00572642" w:rsidP="0052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572642" w:rsidRDefault="00572642" w:rsidP="0052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</w:tr>
      <w:tr w:rsidR="00572642" w:rsidTr="00963F4F">
        <w:tc>
          <w:tcPr>
            <w:tcW w:w="2300" w:type="dxa"/>
          </w:tcPr>
          <w:p w:rsidR="00572642" w:rsidRPr="00521A43" w:rsidRDefault="00572642" w:rsidP="00521A43">
            <w:pPr>
              <w:rPr>
                <w:sz w:val="24"/>
                <w:szCs w:val="24"/>
              </w:rPr>
            </w:pPr>
            <w:r w:rsidRPr="00521A43">
              <w:rPr>
                <w:sz w:val="24"/>
                <w:szCs w:val="24"/>
              </w:rPr>
              <w:t xml:space="preserve">Příspěvek FC </w:t>
            </w:r>
            <w:proofErr w:type="spellStart"/>
            <w:r w:rsidRPr="00521A43">
              <w:rPr>
                <w:sz w:val="24"/>
                <w:szCs w:val="24"/>
              </w:rPr>
              <w:t>Koleč</w:t>
            </w:r>
            <w:proofErr w:type="spellEnd"/>
          </w:p>
        </w:tc>
        <w:tc>
          <w:tcPr>
            <w:tcW w:w="1134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 w:rsidRPr="00521A43">
              <w:rPr>
                <w:sz w:val="24"/>
                <w:szCs w:val="24"/>
              </w:rPr>
              <w:t>40 000</w:t>
            </w:r>
          </w:p>
        </w:tc>
        <w:tc>
          <w:tcPr>
            <w:tcW w:w="1276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1134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1275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1276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572642" w:rsidTr="00963F4F">
        <w:tc>
          <w:tcPr>
            <w:tcW w:w="2300" w:type="dxa"/>
          </w:tcPr>
          <w:p w:rsidR="00572642" w:rsidRPr="00521A43" w:rsidRDefault="00572642" w:rsidP="0052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 tělocvičny</w:t>
            </w:r>
          </w:p>
        </w:tc>
        <w:tc>
          <w:tcPr>
            <w:tcW w:w="1134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</w:t>
            </w:r>
          </w:p>
        </w:tc>
        <w:tc>
          <w:tcPr>
            <w:tcW w:w="1276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</w:t>
            </w:r>
          </w:p>
        </w:tc>
        <w:tc>
          <w:tcPr>
            <w:tcW w:w="1134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</w:t>
            </w:r>
          </w:p>
        </w:tc>
        <w:tc>
          <w:tcPr>
            <w:tcW w:w="1275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</w:t>
            </w:r>
          </w:p>
        </w:tc>
        <w:tc>
          <w:tcPr>
            <w:tcW w:w="1276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</w:t>
            </w:r>
          </w:p>
        </w:tc>
      </w:tr>
      <w:tr w:rsidR="00963F4F" w:rsidTr="00963F4F">
        <w:tc>
          <w:tcPr>
            <w:tcW w:w="2300" w:type="dxa"/>
          </w:tcPr>
          <w:p w:rsidR="00963F4F" w:rsidRDefault="00963F4F" w:rsidP="0052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Dovybavení tělocvičny nářadím</w:t>
            </w:r>
          </w:p>
        </w:tc>
        <w:tc>
          <w:tcPr>
            <w:tcW w:w="1134" w:type="dxa"/>
            <w:vAlign w:val="center"/>
          </w:tcPr>
          <w:p w:rsidR="00963F4F" w:rsidRPr="00521A43" w:rsidRDefault="00963F4F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276" w:type="dxa"/>
            <w:vAlign w:val="center"/>
          </w:tcPr>
          <w:p w:rsidR="00963F4F" w:rsidRDefault="000D3C5B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963F4F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963F4F" w:rsidRDefault="00963F4F" w:rsidP="0096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63F4F" w:rsidRPr="00521A43" w:rsidRDefault="00963F4F" w:rsidP="0096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3F4F" w:rsidRPr="00521A43" w:rsidRDefault="00963F4F" w:rsidP="00963F4F">
            <w:pPr>
              <w:jc w:val="center"/>
              <w:rPr>
                <w:sz w:val="24"/>
                <w:szCs w:val="24"/>
              </w:rPr>
            </w:pPr>
          </w:p>
        </w:tc>
      </w:tr>
      <w:tr w:rsidR="00572642" w:rsidTr="00963F4F">
        <w:tc>
          <w:tcPr>
            <w:tcW w:w="2300" w:type="dxa"/>
          </w:tcPr>
          <w:p w:rsidR="00572642" w:rsidRPr="00521A43" w:rsidRDefault="00572642" w:rsidP="0052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a vybavení dětských hřišť</w:t>
            </w:r>
          </w:p>
        </w:tc>
        <w:tc>
          <w:tcPr>
            <w:tcW w:w="1134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  <w:tc>
          <w:tcPr>
            <w:tcW w:w="1134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  <w:tc>
          <w:tcPr>
            <w:tcW w:w="1275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</w:p>
        </w:tc>
      </w:tr>
      <w:tr w:rsidR="00572642" w:rsidTr="00963F4F">
        <w:tc>
          <w:tcPr>
            <w:tcW w:w="2300" w:type="dxa"/>
          </w:tcPr>
          <w:p w:rsidR="00572642" w:rsidRPr="00521A43" w:rsidRDefault="00572642" w:rsidP="0052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Údržba turistických tras</w:t>
            </w:r>
          </w:p>
        </w:tc>
        <w:tc>
          <w:tcPr>
            <w:tcW w:w="1134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1276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1134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1275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1276" w:type="dxa"/>
            <w:vAlign w:val="center"/>
          </w:tcPr>
          <w:p w:rsidR="00572642" w:rsidRPr="00521A43" w:rsidRDefault="00572642" w:rsidP="00963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572642" w:rsidTr="00572642">
        <w:tc>
          <w:tcPr>
            <w:tcW w:w="2300" w:type="dxa"/>
          </w:tcPr>
          <w:p w:rsidR="00572642" w:rsidRPr="00521A43" w:rsidRDefault="00572642" w:rsidP="0052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Vybudování </w:t>
            </w:r>
            <w:proofErr w:type="spellStart"/>
            <w:r>
              <w:rPr>
                <w:sz w:val="24"/>
                <w:szCs w:val="24"/>
              </w:rPr>
              <w:t>workoutového</w:t>
            </w:r>
            <w:proofErr w:type="spellEnd"/>
            <w:r>
              <w:rPr>
                <w:sz w:val="24"/>
                <w:szCs w:val="24"/>
              </w:rPr>
              <w:t xml:space="preserve"> hřiště a herní hřiště pro starší mládež</w:t>
            </w:r>
          </w:p>
        </w:tc>
        <w:tc>
          <w:tcPr>
            <w:tcW w:w="1134" w:type="dxa"/>
          </w:tcPr>
          <w:p w:rsidR="00572642" w:rsidRPr="00521A43" w:rsidRDefault="00572642" w:rsidP="00521A4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2642" w:rsidRPr="00521A43" w:rsidRDefault="00572642" w:rsidP="00521A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2642" w:rsidRPr="00521A43" w:rsidRDefault="00572642" w:rsidP="0052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Příprava a realizace </w:t>
            </w:r>
            <w:proofErr w:type="gramStart"/>
            <w:r>
              <w:rPr>
                <w:sz w:val="24"/>
                <w:szCs w:val="24"/>
              </w:rPr>
              <w:t>dle</w:t>
            </w:r>
            <w:proofErr w:type="gramEnd"/>
          </w:p>
        </w:tc>
        <w:tc>
          <w:tcPr>
            <w:tcW w:w="1275" w:type="dxa"/>
          </w:tcPr>
          <w:p w:rsidR="00572642" w:rsidRPr="00521A43" w:rsidRDefault="00572642" w:rsidP="0052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možnosti získání dotace</w:t>
            </w:r>
          </w:p>
        </w:tc>
        <w:tc>
          <w:tcPr>
            <w:tcW w:w="1276" w:type="dxa"/>
          </w:tcPr>
          <w:p w:rsidR="00572642" w:rsidRPr="00521A43" w:rsidRDefault="00572642" w:rsidP="00521A43">
            <w:pPr>
              <w:rPr>
                <w:sz w:val="24"/>
                <w:szCs w:val="24"/>
              </w:rPr>
            </w:pPr>
          </w:p>
        </w:tc>
      </w:tr>
    </w:tbl>
    <w:p w:rsidR="00521A43" w:rsidRDefault="00572642" w:rsidP="00521A43">
      <w:pPr>
        <w:ind w:left="360"/>
        <w:rPr>
          <w:sz w:val="24"/>
          <w:szCs w:val="24"/>
        </w:rPr>
      </w:pPr>
      <w:r w:rsidRPr="00572642">
        <w:rPr>
          <w:sz w:val="24"/>
          <w:szCs w:val="24"/>
        </w:rPr>
        <w:lastRenderedPageBreak/>
        <w:t>Jednotlivé předpokládané investice budou zapracovány do ročních rozpočtů obce</w:t>
      </w:r>
      <w:r>
        <w:rPr>
          <w:sz w:val="24"/>
          <w:szCs w:val="24"/>
        </w:rPr>
        <w:t xml:space="preserve"> ve vazbě na strategický plán jejího rozvoje.</w:t>
      </w:r>
    </w:p>
    <w:p w:rsidR="00572642" w:rsidRDefault="00572642" w:rsidP="00521A43">
      <w:pPr>
        <w:ind w:left="360"/>
        <w:rPr>
          <w:sz w:val="24"/>
          <w:szCs w:val="24"/>
        </w:rPr>
      </w:pPr>
      <w:r>
        <w:rPr>
          <w:sz w:val="24"/>
          <w:szCs w:val="24"/>
        </w:rPr>
        <w:t>Obec bude v jednotlivých letech i nadále podporovat rozvoj a vznik dalších sportovních aktivit určených pro širokou veřejnost. Prvotní zůstává podpora sportu zejména u mladé generace již ve škol</w:t>
      </w:r>
      <w:r w:rsidR="00F909F3">
        <w:rPr>
          <w:sz w:val="24"/>
          <w:szCs w:val="24"/>
        </w:rPr>
        <w:t>ských zařízeních zřízených obcí a plné využití a údržba stávajících sportovišť a hřišť. Nadále bude obec podporovat sportovní fotbalový klub a i další případně vzniklé sportovní organizace v obci.</w:t>
      </w:r>
    </w:p>
    <w:p w:rsidR="00572642" w:rsidRDefault="00572642" w:rsidP="00521A4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Cíl – vybudování </w:t>
      </w:r>
      <w:proofErr w:type="spellStart"/>
      <w:r>
        <w:rPr>
          <w:sz w:val="24"/>
          <w:szCs w:val="24"/>
        </w:rPr>
        <w:t>workoutového</w:t>
      </w:r>
      <w:proofErr w:type="spellEnd"/>
      <w:r>
        <w:rPr>
          <w:sz w:val="24"/>
          <w:szCs w:val="24"/>
        </w:rPr>
        <w:t xml:space="preserve"> hřiště a herního hřiště pro starší mládež by měla přispět k rozvoji zájmu o sport u nejširší veřejnosti a vytvořit přístup ke sportovním aktivitám všem občanům bez rozdílu věku. Hřiště uvažujeme vybudovat v místech, kde dříve bylo </w:t>
      </w:r>
      <w:proofErr w:type="spellStart"/>
      <w:r>
        <w:rPr>
          <w:sz w:val="24"/>
          <w:szCs w:val="24"/>
        </w:rPr>
        <w:t>tvz</w:t>
      </w:r>
      <w:proofErr w:type="spellEnd"/>
      <w:r>
        <w:rPr>
          <w:sz w:val="24"/>
          <w:szCs w:val="24"/>
        </w:rPr>
        <w:t>. „malé hřiště</w:t>
      </w:r>
      <w:r w:rsidR="00D001F2">
        <w:rPr>
          <w:sz w:val="24"/>
          <w:szCs w:val="24"/>
        </w:rPr>
        <w:t>“</w:t>
      </w:r>
      <w:r>
        <w:rPr>
          <w:sz w:val="24"/>
          <w:szCs w:val="24"/>
        </w:rPr>
        <w:t xml:space="preserve"> mezi školou a hřbitovem, vedle bývalého včelařského závodu. Je zřejmé, že bez dotace to nepůjde. </w:t>
      </w:r>
    </w:p>
    <w:p w:rsidR="00572642" w:rsidRDefault="00572642" w:rsidP="00572642">
      <w:pPr>
        <w:ind w:left="36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4114800" cy="3872277"/>
            <wp:effectExtent l="19050" t="0" r="0" b="0"/>
            <wp:docPr id="10" name="Obrázek 9" descr="malé hřišt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é hřiště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87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F3C" w:rsidRDefault="001C2F3C" w:rsidP="00572642">
      <w:pPr>
        <w:ind w:left="360"/>
        <w:jc w:val="center"/>
        <w:rPr>
          <w:sz w:val="24"/>
          <w:szCs w:val="24"/>
        </w:rPr>
      </w:pPr>
    </w:p>
    <w:p w:rsidR="001C2F3C" w:rsidRPr="001C2F3C" w:rsidRDefault="001C2F3C" w:rsidP="001C2F3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C2F3C">
        <w:rPr>
          <w:rFonts w:ascii="Times New Roman" w:hAnsi="Times New Roman" w:cs="Times New Roman"/>
          <w:b/>
          <w:bCs/>
          <w:sz w:val="23"/>
          <w:szCs w:val="23"/>
        </w:rPr>
        <w:t xml:space="preserve">Závěrečná ustanovení </w:t>
      </w:r>
    </w:p>
    <w:p w:rsidR="001C2F3C" w:rsidRPr="001C2F3C" w:rsidRDefault="001C2F3C" w:rsidP="001C2F3C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3"/>
          <w:szCs w:val="23"/>
        </w:rPr>
      </w:pPr>
    </w:p>
    <w:p w:rsidR="0060509E" w:rsidRDefault="001C2F3C" w:rsidP="001C2F3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3"/>
          <w:szCs w:val="23"/>
        </w:rPr>
      </w:pPr>
      <w:r w:rsidRPr="001C2F3C">
        <w:rPr>
          <w:rFonts w:ascii="Times New Roman" w:hAnsi="Times New Roman" w:cs="Times New Roman"/>
          <w:sz w:val="23"/>
          <w:szCs w:val="23"/>
        </w:rPr>
        <w:t>1.</w:t>
      </w:r>
      <w:r w:rsidR="0060509E">
        <w:rPr>
          <w:rFonts w:ascii="Times New Roman" w:hAnsi="Times New Roman" w:cs="Times New Roman"/>
          <w:sz w:val="23"/>
          <w:szCs w:val="23"/>
        </w:rPr>
        <w:t xml:space="preserve"> </w:t>
      </w:r>
      <w:r w:rsidR="00D53889">
        <w:rPr>
          <w:rFonts w:ascii="Times New Roman" w:hAnsi="Times New Roman" w:cs="Times New Roman"/>
          <w:sz w:val="23"/>
          <w:szCs w:val="23"/>
        </w:rPr>
        <w:t>Plán rozvoje sportu bude v jednotlivých letech dle potřeby upravován tak, aby vystihl potřeby občanů a zohlednil finanční možnosti obce.</w:t>
      </w:r>
    </w:p>
    <w:p w:rsidR="001C2F3C" w:rsidRPr="001C2F3C" w:rsidRDefault="0060509E" w:rsidP="001C2F3C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 w:rsidR="001C2F3C" w:rsidRPr="001C2F3C">
        <w:rPr>
          <w:rFonts w:ascii="Times New Roman" w:hAnsi="Times New Roman" w:cs="Times New Roman"/>
          <w:sz w:val="23"/>
          <w:szCs w:val="23"/>
        </w:rPr>
        <w:t xml:space="preserve"> </w:t>
      </w:r>
      <w:r w:rsidR="00D53889">
        <w:rPr>
          <w:rFonts w:ascii="Times New Roman" w:hAnsi="Times New Roman" w:cs="Times New Roman"/>
          <w:sz w:val="23"/>
          <w:szCs w:val="23"/>
        </w:rPr>
        <w:t>P</w:t>
      </w:r>
      <w:r w:rsidR="001C2F3C" w:rsidRPr="001C2F3C">
        <w:rPr>
          <w:rFonts w:ascii="Times New Roman" w:hAnsi="Times New Roman" w:cs="Times New Roman"/>
          <w:sz w:val="23"/>
          <w:szCs w:val="23"/>
        </w:rPr>
        <w:t xml:space="preserve">lán rozvoje sportu </w:t>
      </w:r>
      <w:r w:rsidR="001C2F3C">
        <w:rPr>
          <w:rFonts w:ascii="Times New Roman" w:hAnsi="Times New Roman" w:cs="Times New Roman"/>
          <w:sz w:val="23"/>
          <w:szCs w:val="23"/>
        </w:rPr>
        <w:t xml:space="preserve">v </w:t>
      </w:r>
      <w:proofErr w:type="spellStart"/>
      <w:r w:rsidR="001C2F3C">
        <w:rPr>
          <w:rFonts w:ascii="Times New Roman" w:hAnsi="Times New Roman" w:cs="Times New Roman"/>
          <w:sz w:val="23"/>
          <w:szCs w:val="23"/>
        </w:rPr>
        <w:t>Kolči</w:t>
      </w:r>
      <w:proofErr w:type="spellEnd"/>
      <w:r w:rsidR="001C2F3C" w:rsidRPr="001C2F3C">
        <w:rPr>
          <w:rFonts w:ascii="Times New Roman" w:hAnsi="Times New Roman" w:cs="Times New Roman"/>
          <w:sz w:val="23"/>
          <w:szCs w:val="23"/>
        </w:rPr>
        <w:t xml:space="preserve"> schválilo Zastupitelstvo obce </w:t>
      </w:r>
      <w:proofErr w:type="spellStart"/>
      <w:r w:rsidR="001C2F3C">
        <w:rPr>
          <w:rFonts w:ascii="Times New Roman" w:hAnsi="Times New Roman" w:cs="Times New Roman"/>
          <w:sz w:val="23"/>
          <w:szCs w:val="23"/>
        </w:rPr>
        <w:t>Koleč</w:t>
      </w:r>
      <w:proofErr w:type="spellEnd"/>
      <w:r w:rsidR="001C2F3C" w:rsidRPr="001C2F3C">
        <w:rPr>
          <w:rFonts w:ascii="Times New Roman" w:hAnsi="Times New Roman" w:cs="Times New Roman"/>
          <w:sz w:val="23"/>
          <w:szCs w:val="23"/>
        </w:rPr>
        <w:t xml:space="preserve"> na svém zasedání konaném dne </w:t>
      </w:r>
      <w:proofErr w:type="gramStart"/>
      <w:r w:rsidR="001C2F3C">
        <w:rPr>
          <w:rFonts w:ascii="Times New Roman" w:hAnsi="Times New Roman" w:cs="Times New Roman"/>
          <w:sz w:val="23"/>
          <w:szCs w:val="23"/>
        </w:rPr>
        <w:t>17.5.2018</w:t>
      </w:r>
      <w:proofErr w:type="gramEnd"/>
      <w:r w:rsidR="001C2F3C" w:rsidRPr="001C2F3C">
        <w:rPr>
          <w:rFonts w:ascii="Times New Roman" w:hAnsi="Times New Roman" w:cs="Times New Roman"/>
          <w:sz w:val="23"/>
          <w:szCs w:val="23"/>
        </w:rPr>
        <w:t xml:space="preserve"> usnesením č.</w:t>
      </w:r>
      <w:r w:rsidR="003A04FC">
        <w:rPr>
          <w:rFonts w:ascii="Times New Roman" w:hAnsi="Times New Roman" w:cs="Times New Roman"/>
          <w:sz w:val="23"/>
          <w:szCs w:val="23"/>
        </w:rPr>
        <w:t>2/2018.</w:t>
      </w:r>
    </w:p>
    <w:p w:rsidR="001C2F3C" w:rsidRPr="001C2F3C" w:rsidRDefault="00D53889" w:rsidP="001C2F3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P</w:t>
      </w:r>
      <w:r w:rsidR="001C2F3C" w:rsidRPr="001C2F3C">
        <w:rPr>
          <w:rFonts w:ascii="Times New Roman" w:hAnsi="Times New Roman" w:cs="Times New Roman"/>
          <w:sz w:val="23"/>
          <w:szCs w:val="23"/>
        </w:rPr>
        <w:t xml:space="preserve">lán rozvoje sportu </w:t>
      </w:r>
      <w:r w:rsidR="001C2F3C">
        <w:rPr>
          <w:rFonts w:ascii="Times New Roman" w:hAnsi="Times New Roman" w:cs="Times New Roman"/>
          <w:sz w:val="23"/>
          <w:szCs w:val="23"/>
        </w:rPr>
        <w:t xml:space="preserve">v obci </w:t>
      </w:r>
      <w:proofErr w:type="spellStart"/>
      <w:r w:rsidR="001C2F3C">
        <w:rPr>
          <w:rFonts w:ascii="Times New Roman" w:hAnsi="Times New Roman" w:cs="Times New Roman"/>
          <w:sz w:val="23"/>
          <w:szCs w:val="23"/>
        </w:rPr>
        <w:t>Koleč</w:t>
      </w:r>
      <w:proofErr w:type="spellEnd"/>
      <w:r w:rsidR="001C2F3C" w:rsidRPr="001C2F3C">
        <w:rPr>
          <w:rFonts w:ascii="Times New Roman" w:hAnsi="Times New Roman" w:cs="Times New Roman"/>
          <w:sz w:val="23"/>
          <w:szCs w:val="23"/>
        </w:rPr>
        <w:t xml:space="preserve"> je zveřejněn na webových stránkách Obce </w:t>
      </w:r>
      <w:proofErr w:type="spellStart"/>
      <w:r w:rsidR="001C2F3C">
        <w:rPr>
          <w:rFonts w:ascii="Times New Roman" w:hAnsi="Times New Roman" w:cs="Times New Roman"/>
          <w:sz w:val="23"/>
          <w:szCs w:val="23"/>
        </w:rPr>
        <w:t>Koleč</w:t>
      </w:r>
      <w:proofErr w:type="spellEnd"/>
      <w:r w:rsidR="001C2F3C" w:rsidRPr="001C2F3C">
        <w:rPr>
          <w:rFonts w:ascii="Times New Roman" w:hAnsi="Times New Roman" w:cs="Times New Roman"/>
          <w:sz w:val="23"/>
          <w:szCs w:val="23"/>
        </w:rPr>
        <w:t xml:space="preserve"> www.</w:t>
      </w:r>
      <w:r w:rsidR="001C2F3C">
        <w:rPr>
          <w:rFonts w:ascii="Times New Roman" w:hAnsi="Times New Roman" w:cs="Times New Roman"/>
          <w:sz w:val="23"/>
          <w:szCs w:val="23"/>
        </w:rPr>
        <w:t>koleč</w:t>
      </w:r>
      <w:r w:rsidR="001C2F3C" w:rsidRPr="001C2F3C">
        <w:rPr>
          <w:rFonts w:ascii="Times New Roman" w:hAnsi="Times New Roman" w:cs="Times New Roman"/>
          <w:sz w:val="23"/>
          <w:szCs w:val="23"/>
        </w:rPr>
        <w:t xml:space="preserve">.cz nebo je dostupný ve fyzické podobě na obecním úřadě. </w:t>
      </w:r>
    </w:p>
    <w:p w:rsidR="001C2F3C" w:rsidRPr="001C2F3C" w:rsidRDefault="001C2F3C" w:rsidP="001C2F3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3"/>
          <w:szCs w:val="23"/>
        </w:rPr>
      </w:pPr>
    </w:p>
    <w:p w:rsidR="001C2F3C" w:rsidRDefault="001C2F3C" w:rsidP="001C2F3C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1C2F3C" w:rsidRPr="001C2F3C" w:rsidRDefault="001C2F3C" w:rsidP="001C2F3C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1C2F3C">
        <w:rPr>
          <w:rFonts w:ascii="Times New Roman" w:hAnsi="Times New Roman" w:cs="Times New Roman"/>
          <w:sz w:val="24"/>
          <w:szCs w:val="24"/>
        </w:rPr>
        <w:t xml:space="preserve">Lenka </w:t>
      </w:r>
      <w:proofErr w:type="spellStart"/>
      <w:r w:rsidRPr="001C2F3C">
        <w:rPr>
          <w:rFonts w:ascii="Times New Roman" w:hAnsi="Times New Roman" w:cs="Times New Roman"/>
          <w:sz w:val="24"/>
          <w:szCs w:val="24"/>
        </w:rPr>
        <w:t>Skolilová</w:t>
      </w:r>
      <w:proofErr w:type="spellEnd"/>
    </w:p>
    <w:p w:rsidR="001C2F3C" w:rsidRPr="001C2F3C" w:rsidRDefault="001C2F3C" w:rsidP="001C2F3C">
      <w:pPr>
        <w:spacing w:after="0"/>
        <w:ind w:left="360"/>
        <w:jc w:val="right"/>
        <w:rPr>
          <w:sz w:val="24"/>
          <w:szCs w:val="24"/>
        </w:rPr>
      </w:pPr>
      <w:r w:rsidRPr="001C2F3C">
        <w:rPr>
          <w:rFonts w:ascii="Times New Roman" w:hAnsi="Times New Roman" w:cs="Times New Roman"/>
          <w:sz w:val="24"/>
          <w:szCs w:val="24"/>
        </w:rPr>
        <w:t>starostka</w:t>
      </w:r>
    </w:p>
    <w:sectPr w:rsidR="001C2F3C" w:rsidRPr="001C2F3C" w:rsidSect="00DB004C">
      <w:pgSz w:w="11906" w:h="16838"/>
      <w:pgMar w:top="993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1CC1"/>
    <w:multiLevelType w:val="hybridMultilevel"/>
    <w:tmpl w:val="13B6B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13201"/>
    <w:multiLevelType w:val="hybridMultilevel"/>
    <w:tmpl w:val="D6146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865EF"/>
    <w:multiLevelType w:val="hybridMultilevel"/>
    <w:tmpl w:val="FF98FC34"/>
    <w:lvl w:ilvl="0" w:tplc="6E505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4409F"/>
    <w:multiLevelType w:val="hybridMultilevel"/>
    <w:tmpl w:val="5AA87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F26"/>
    <w:rsid w:val="000D3C5B"/>
    <w:rsid w:val="001C2F3C"/>
    <w:rsid w:val="001F57C0"/>
    <w:rsid w:val="003A04FC"/>
    <w:rsid w:val="003A11A6"/>
    <w:rsid w:val="00497AAF"/>
    <w:rsid w:val="00521A43"/>
    <w:rsid w:val="00572642"/>
    <w:rsid w:val="0060509E"/>
    <w:rsid w:val="00673325"/>
    <w:rsid w:val="00725D17"/>
    <w:rsid w:val="007E26C2"/>
    <w:rsid w:val="0086434A"/>
    <w:rsid w:val="008A7757"/>
    <w:rsid w:val="008E0350"/>
    <w:rsid w:val="00963F4F"/>
    <w:rsid w:val="009D3F26"/>
    <w:rsid w:val="00B066D5"/>
    <w:rsid w:val="00D001F2"/>
    <w:rsid w:val="00D53889"/>
    <w:rsid w:val="00DA32F1"/>
    <w:rsid w:val="00DB004C"/>
    <w:rsid w:val="00DF5E06"/>
    <w:rsid w:val="00EF5411"/>
    <w:rsid w:val="00F11004"/>
    <w:rsid w:val="00F5610D"/>
    <w:rsid w:val="00F909F3"/>
    <w:rsid w:val="00FA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7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F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D3F26"/>
    <w:pPr>
      <w:ind w:left="720"/>
      <w:contextualSpacing/>
    </w:pPr>
  </w:style>
  <w:style w:type="table" w:styleId="Mkatabulky">
    <w:name w:val="Table Grid"/>
    <w:basedOn w:val="Normlntabulka"/>
    <w:uiPriority w:val="59"/>
    <w:rsid w:val="00521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13</cp:revision>
  <dcterms:created xsi:type="dcterms:W3CDTF">2018-05-09T07:58:00Z</dcterms:created>
  <dcterms:modified xsi:type="dcterms:W3CDTF">2019-12-17T12:42:00Z</dcterms:modified>
</cp:coreProperties>
</file>